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7A" w:rsidRPr="0033035A" w:rsidRDefault="0000307A" w:rsidP="0000307A"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-490220</wp:posOffset>
            </wp:positionV>
            <wp:extent cx="67341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569" y="21363"/>
                <wp:lineTo x="2156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2" t="17101" r="9708" b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07A" w:rsidRDefault="0000307A" w:rsidP="0000307A">
      <w:pPr>
        <w:spacing w:after="0" w:line="240" w:lineRule="auto"/>
        <w:jc w:val="center"/>
        <w:rPr>
          <w:rFonts w:ascii="Arial" w:hAnsi="Arial"/>
          <w:lang w:val="pt-BR"/>
        </w:rPr>
      </w:pPr>
      <w:r>
        <w:rPr>
          <w:rFonts w:ascii="Arial" w:hAnsi="Arial"/>
          <w:b/>
          <w:sz w:val="28"/>
          <w:lang w:val="pt-BR"/>
        </w:rPr>
        <w:t>INSTITUTO TECNOLÓGICO DE SALINA CRUZ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</w:rPr>
      </w:pPr>
    </w:p>
    <w:p w:rsidR="0000307A" w:rsidRPr="003568A6" w:rsidRDefault="0000307A" w:rsidP="0000307A">
      <w:pPr>
        <w:jc w:val="center"/>
        <w:rPr>
          <w:rFonts w:ascii="Arial" w:hAnsi="Arial" w:cs="Arial"/>
          <w:b/>
          <w:sz w:val="24"/>
          <w:szCs w:val="24"/>
        </w:rPr>
      </w:pPr>
      <w:r w:rsidRPr="003568A6">
        <w:rPr>
          <w:rFonts w:ascii="Arial" w:hAnsi="Arial" w:cs="Arial"/>
          <w:b/>
          <w:sz w:val="24"/>
          <w:szCs w:val="24"/>
        </w:rPr>
        <w:t>UNIDAD</w:t>
      </w:r>
      <w:r>
        <w:rPr>
          <w:rFonts w:ascii="Arial" w:hAnsi="Arial" w:cs="Arial"/>
          <w:b/>
          <w:sz w:val="24"/>
          <w:szCs w:val="24"/>
        </w:rPr>
        <w:t xml:space="preserve"> 3</w:t>
      </w:r>
      <w:r w:rsidRPr="003568A6">
        <w:rPr>
          <w:rFonts w:ascii="Arial" w:hAnsi="Arial" w:cs="Arial"/>
          <w:b/>
          <w:sz w:val="24"/>
          <w:szCs w:val="24"/>
        </w:rPr>
        <w:t>:</w:t>
      </w:r>
    </w:p>
    <w:p w:rsidR="0000307A" w:rsidRPr="00EA52D5" w:rsidRDefault="0000307A" w:rsidP="0000307A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PROTOCOLOS DE ENRUTAMIENTO VECTOR-DISTANCIA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896059">
        <w:rPr>
          <w:rFonts w:ascii="Arial" w:hAnsi="Arial"/>
          <w:b/>
          <w:sz w:val="24"/>
        </w:rPr>
        <w:t>ACTIVIDAD:</w:t>
      </w:r>
    </w:p>
    <w:p w:rsidR="0000307A" w:rsidRPr="00896059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00307A" w:rsidRDefault="001B33B5" w:rsidP="0000307A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GLOSARIO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896059">
        <w:rPr>
          <w:rFonts w:ascii="Arial" w:hAnsi="Arial"/>
          <w:b/>
          <w:sz w:val="24"/>
        </w:rPr>
        <w:t>MATERIA:</w:t>
      </w:r>
    </w:p>
    <w:p w:rsidR="0000307A" w:rsidRPr="00896059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REDES DE COMPUTADORA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96059">
        <w:rPr>
          <w:rFonts w:ascii="Arial" w:hAnsi="Arial" w:cs="Arial"/>
          <w:b/>
          <w:sz w:val="24"/>
        </w:rPr>
        <w:t>DOCENTE:</w:t>
      </w:r>
    </w:p>
    <w:p w:rsidR="0000307A" w:rsidRPr="00896059" w:rsidRDefault="0000307A" w:rsidP="0000307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MC. ROMÁN NAJERA SUSANA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96059">
        <w:rPr>
          <w:rFonts w:ascii="Arial" w:hAnsi="Arial" w:cs="Arial"/>
          <w:b/>
          <w:sz w:val="24"/>
        </w:rPr>
        <w:t>ALUMNO: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307A" w:rsidRPr="00896059" w:rsidRDefault="00FF67A9" w:rsidP="000030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García Ibáñez Marcos Antonio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896059">
        <w:rPr>
          <w:rFonts w:ascii="Arial" w:hAnsi="Arial"/>
          <w:b/>
          <w:sz w:val="24"/>
        </w:rPr>
        <w:t>SEMESTRE Y GRUPO:</w:t>
      </w:r>
    </w:p>
    <w:p w:rsidR="0000307A" w:rsidRPr="00896059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00307A" w:rsidRPr="00896059" w:rsidRDefault="0000307A" w:rsidP="0000307A">
      <w:pPr>
        <w:spacing w:after="0" w:line="24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</w:t>
      </w:r>
      <w:r w:rsidRPr="00896059">
        <w:rPr>
          <w:rFonts w:ascii="Arial" w:hAnsi="Arial"/>
          <w:sz w:val="28"/>
          <w:szCs w:val="28"/>
        </w:rPr>
        <w:t>E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/>
        </w:rPr>
      </w:pPr>
    </w:p>
    <w:p w:rsidR="0000307A" w:rsidRPr="002759D6" w:rsidRDefault="0000307A" w:rsidP="0000307A">
      <w:pPr>
        <w:spacing w:after="0" w:line="240" w:lineRule="auto"/>
        <w:jc w:val="center"/>
        <w:rPr>
          <w:rFonts w:ascii="Arial" w:hAnsi="Arial"/>
          <w:b/>
        </w:rPr>
      </w:pPr>
    </w:p>
    <w:p w:rsidR="0000307A" w:rsidRPr="002759D6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2759D6">
        <w:rPr>
          <w:rFonts w:ascii="Arial" w:hAnsi="Arial"/>
          <w:b/>
          <w:sz w:val="24"/>
        </w:rPr>
        <w:t>CARRERA:</w:t>
      </w:r>
    </w:p>
    <w:p w:rsidR="0000307A" w:rsidRPr="00ED1553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00307A" w:rsidRPr="003A6110" w:rsidRDefault="0000307A" w:rsidP="0000307A">
      <w:pPr>
        <w:jc w:val="center"/>
        <w:rPr>
          <w:rFonts w:ascii="Arial" w:hAnsi="Arial" w:cs="Arial"/>
          <w:sz w:val="24"/>
        </w:rPr>
      </w:pPr>
      <w:r w:rsidRPr="003A6110">
        <w:rPr>
          <w:rFonts w:ascii="Arial" w:hAnsi="Arial" w:cs="Arial"/>
          <w:sz w:val="24"/>
        </w:rPr>
        <w:t>INGENIERÍA EN TECNOLOGÍAS DE LA INFORMACIÓN Y DE LAS COMUNICACIONES</w:t>
      </w:r>
    </w:p>
    <w:p w:rsidR="0000307A" w:rsidRDefault="0000307A" w:rsidP="0000307A">
      <w:pPr>
        <w:spacing w:after="0" w:line="240" w:lineRule="auto"/>
        <w:jc w:val="right"/>
        <w:rPr>
          <w:rFonts w:ascii="Arial" w:hAnsi="Arial"/>
          <w:b/>
          <w:lang w:val="pt-BR"/>
        </w:rPr>
      </w:pPr>
    </w:p>
    <w:p w:rsidR="0000307A" w:rsidRDefault="0000307A" w:rsidP="0000307A">
      <w:pPr>
        <w:spacing w:line="240" w:lineRule="auto"/>
        <w:rPr>
          <w:rFonts w:ascii="Arial" w:hAnsi="Arial"/>
          <w:b/>
          <w:lang w:val="pt-BR"/>
        </w:rPr>
      </w:pPr>
    </w:p>
    <w:p w:rsidR="002A17B9" w:rsidRDefault="0000307A" w:rsidP="0000307A">
      <w:pPr>
        <w:jc w:val="right"/>
        <w:rPr>
          <w:rFonts w:ascii="Arial Narrow" w:hAnsi="Arial Narrow" w:cs="Arial"/>
          <w:i/>
          <w:sz w:val="24"/>
        </w:rPr>
      </w:pPr>
      <w:r w:rsidRPr="000A1C9E">
        <w:rPr>
          <w:rFonts w:ascii="Arial Narrow" w:hAnsi="Arial Narrow" w:cs="Arial"/>
          <w:i/>
          <w:sz w:val="24"/>
        </w:rPr>
        <w:t>PUER</w:t>
      </w:r>
      <w:r w:rsidR="002A17B9">
        <w:rPr>
          <w:rFonts w:ascii="Arial Narrow" w:hAnsi="Arial Narrow" w:cs="Arial"/>
          <w:i/>
          <w:sz w:val="24"/>
        </w:rPr>
        <w:t>TO DE SALINA CRUZ OAXACA, A 27 DE ABRIL</w:t>
      </w:r>
      <w:r>
        <w:rPr>
          <w:rFonts w:ascii="Arial Narrow" w:hAnsi="Arial Narrow" w:cs="Arial"/>
          <w:i/>
          <w:sz w:val="24"/>
        </w:rPr>
        <w:t xml:space="preserve"> DE 2015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D60796" w:rsidTr="00D60796">
        <w:tc>
          <w:tcPr>
            <w:tcW w:w="2547" w:type="dxa"/>
          </w:tcPr>
          <w:p w:rsidR="00D60796" w:rsidRPr="00CB0355" w:rsidRDefault="00D60796" w:rsidP="002A17B9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6281" w:type="dxa"/>
          </w:tcPr>
          <w:p w:rsidR="00D60796" w:rsidRPr="00CB0355" w:rsidRDefault="00D60796" w:rsidP="00D60796">
            <w:pPr>
              <w:tabs>
                <w:tab w:val="left" w:pos="840"/>
              </w:tabs>
              <w:jc w:val="center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Definición</w:t>
            </w:r>
          </w:p>
        </w:tc>
      </w:tr>
      <w:tr w:rsidR="00D60796" w:rsidTr="00D60796">
        <w:tc>
          <w:tcPr>
            <w:tcW w:w="2547" w:type="dxa"/>
          </w:tcPr>
          <w:p w:rsidR="00D60796" w:rsidRPr="00CB0355" w:rsidRDefault="00FF67A9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proofErr w:type="spellStart"/>
            <w:r w:rsidRPr="00CB0355">
              <w:rPr>
                <w:rFonts w:ascii="Arial" w:hAnsi="Arial" w:cs="Arial"/>
                <w:sz w:val="28"/>
              </w:rPr>
              <w:t>Router</w:t>
            </w:r>
            <w:proofErr w:type="spellEnd"/>
          </w:p>
        </w:tc>
        <w:tc>
          <w:tcPr>
            <w:tcW w:w="6281" w:type="dxa"/>
          </w:tcPr>
          <w:p w:rsidR="00D60796" w:rsidRPr="00CB0355" w:rsidRDefault="00FF67A9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Dispositivo que se utiliza para interconectar redes.</w:t>
            </w:r>
          </w:p>
        </w:tc>
      </w:tr>
      <w:tr w:rsidR="00D60796" w:rsidTr="00D60796">
        <w:tc>
          <w:tcPr>
            <w:tcW w:w="2547" w:type="dxa"/>
          </w:tcPr>
          <w:p w:rsidR="00D60796" w:rsidRPr="00CB0355" w:rsidRDefault="00FF67A9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Sistema autónomo</w:t>
            </w:r>
          </w:p>
        </w:tc>
        <w:tc>
          <w:tcPr>
            <w:tcW w:w="6281" w:type="dxa"/>
          </w:tcPr>
          <w:p w:rsidR="00D60796" w:rsidRPr="00CB0355" w:rsidRDefault="00FF67A9" w:rsidP="00FF67A9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 xml:space="preserve">Conjunto de </w:t>
            </w:r>
            <w:proofErr w:type="spellStart"/>
            <w:r w:rsidRPr="00CB0355">
              <w:rPr>
                <w:rFonts w:ascii="Arial" w:hAnsi="Arial" w:cs="Arial"/>
                <w:sz w:val="28"/>
              </w:rPr>
              <w:t>routers</w:t>
            </w:r>
            <w:proofErr w:type="spellEnd"/>
            <w:r w:rsidRPr="00CB0355">
              <w:rPr>
                <w:rFonts w:ascii="Arial" w:hAnsi="Arial" w:cs="Arial"/>
                <w:sz w:val="28"/>
              </w:rPr>
              <w:t xml:space="preserve"> que se encuentran bajo una administración común. </w:t>
            </w:r>
          </w:p>
        </w:tc>
      </w:tr>
      <w:tr w:rsidR="00D60796" w:rsidTr="00D60796">
        <w:tc>
          <w:tcPr>
            <w:tcW w:w="2547" w:type="dxa"/>
          </w:tcPr>
          <w:p w:rsidR="00D60796" w:rsidRPr="00CB0355" w:rsidRDefault="00FF67A9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Algoritmo</w:t>
            </w:r>
          </w:p>
        </w:tc>
        <w:tc>
          <w:tcPr>
            <w:tcW w:w="6281" w:type="dxa"/>
          </w:tcPr>
          <w:p w:rsidR="00D60796" w:rsidRPr="00CB0355" w:rsidRDefault="00FF67A9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Conjunto ordenado y finito de operaciones que permiten hallar la solución de un problema.</w:t>
            </w:r>
          </w:p>
        </w:tc>
      </w:tr>
      <w:tr w:rsidR="00D60796" w:rsidTr="00D60796">
        <w:tc>
          <w:tcPr>
            <w:tcW w:w="2547" w:type="dxa"/>
          </w:tcPr>
          <w:p w:rsidR="00D60796" w:rsidRPr="00CB0355" w:rsidRDefault="00D60796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Balanceo de carga</w:t>
            </w:r>
          </w:p>
        </w:tc>
        <w:tc>
          <w:tcPr>
            <w:tcW w:w="6281" w:type="dxa"/>
          </w:tcPr>
          <w:p w:rsidR="00D60796" w:rsidRPr="00CB0355" w:rsidRDefault="00D60796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Cuando se tiene un destino con el mismo costo, el router subdivide el paquete.</w:t>
            </w:r>
          </w:p>
        </w:tc>
      </w:tr>
      <w:tr w:rsidR="00D60796" w:rsidTr="00D60796">
        <w:tc>
          <w:tcPr>
            <w:tcW w:w="2547" w:type="dxa"/>
          </w:tcPr>
          <w:p w:rsidR="00D60796" w:rsidRPr="00CB0355" w:rsidRDefault="00C91163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RIP</w:t>
            </w:r>
          </w:p>
        </w:tc>
        <w:tc>
          <w:tcPr>
            <w:tcW w:w="6281" w:type="dxa"/>
          </w:tcPr>
          <w:p w:rsidR="00D60796" w:rsidRPr="00CB0355" w:rsidRDefault="00C91163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Protocolo de información de encaminamiento.</w:t>
            </w:r>
          </w:p>
        </w:tc>
      </w:tr>
      <w:tr w:rsidR="00D60796" w:rsidTr="00D60796">
        <w:tc>
          <w:tcPr>
            <w:tcW w:w="2547" w:type="dxa"/>
          </w:tcPr>
          <w:p w:rsidR="00D60796" w:rsidRPr="00CB0355" w:rsidRDefault="00C91163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IGRP</w:t>
            </w:r>
          </w:p>
        </w:tc>
        <w:tc>
          <w:tcPr>
            <w:tcW w:w="6281" w:type="dxa"/>
          </w:tcPr>
          <w:p w:rsidR="00D60796" w:rsidRPr="00CB0355" w:rsidRDefault="00C91163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Protocolo de enrutamiento de Gateway interior.</w:t>
            </w:r>
          </w:p>
        </w:tc>
      </w:tr>
      <w:tr w:rsidR="00D60796" w:rsidTr="00D60796">
        <w:tc>
          <w:tcPr>
            <w:tcW w:w="2547" w:type="dxa"/>
          </w:tcPr>
          <w:p w:rsidR="00D60796" w:rsidRPr="00CB0355" w:rsidRDefault="00C91163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EIGRP</w:t>
            </w:r>
          </w:p>
        </w:tc>
        <w:tc>
          <w:tcPr>
            <w:tcW w:w="6281" w:type="dxa"/>
          </w:tcPr>
          <w:p w:rsidR="00D60796" w:rsidRPr="00CB0355" w:rsidRDefault="00C91163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Protocolo de enrutamiento vector distancia.</w:t>
            </w:r>
          </w:p>
        </w:tc>
      </w:tr>
      <w:tr w:rsidR="00C91163" w:rsidTr="00D60796">
        <w:tc>
          <w:tcPr>
            <w:tcW w:w="2547" w:type="dxa"/>
          </w:tcPr>
          <w:p w:rsidR="00C91163" w:rsidRPr="00CB0355" w:rsidRDefault="00FF67A9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Protocolo</w:t>
            </w:r>
          </w:p>
        </w:tc>
        <w:tc>
          <w:tcPr>
            <w:tcW w:w="6281" w:type="dxa"/>
          </w:tcPr>
          <w:p w:rsidR="00C91163" w:rsidRPr="00CB0355" w:rsidRDefault="00FF67A9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Conjunto de reglas o normas para la transmisión de datos.</w:t>
            </w:r>
          </w:p>
        </w:tc>
      </w:tr>
      <w:tr w:rsidR="00C91163" w:rsidTr="00D60796">
        <w:tc>
          <w:tcPr>
            <w:tcW w:w="2547" w:type="dxa"/>
          </w:tcPr>
          <w:p w:rsidR="00C91163" w:rsidRPr="00CB0355" w:rsidRDefault="00B22879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Métrica</w:t>
            </w:r>
          </w:p>
        </w:tc>
        <w:tc>
          <w:tcPr>
            <w:tcW w:w="6281" w:type="dxa"/>
          </w:tcPr>
          <w:p w:rsidR="00C91163" w:rsidRPr="00CB0355" w:rsidRDefault="00B22879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Valor cualitativo, es la que elegirá que ruta es más fiable cuando se manifieste más rutas a seguir.</w:t>
            </w:r>
          </w:p>
        </w:tc>
      </w:tr>
      <w:tr w:rsidR="00B22879" w:rsidTr="00D60796">
        <w:tc>
          <w:tcPr>
            <w:tcW w:w="2547" w:type="dxa"/>
          </w:tcPr>
          <w:p w:rsidR="00B22879" w:rsidRPr="00CB0355" w:rsidRDefault="00B22879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Convergencia</w:t>
            </w:r>
          </w:p>
        </w:tc>
        <w:tc>
          <w:tcPr>
            <w:tcW w:w="6281" w:type="dxa"/>
          </w:tcPr>
          <w:p w:rsidR="00B22879" w:rsidRPr="00CB0355" w:rsidRDefault="00B22879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Es la cantidad de tiempo necesario para que una red sea convergente proporcional al tamaño de dicha red.</w:t>
            </w:r>
          </w:p>
        </w:tc>
      </w:tr>
      <w:tr w:rsidR="00C05BEE" w:rsidTr="00D60796">
        <w:tc>
          <w:tcPr>
            <w:tcW w:w="2547" w:type="dxa"/>
          </w:tcPr>
          <w:p w:rsidR="00C05BEE" w:rsidRPr="00CB0355" w:rsidRDefault="00C05BEE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Distancia administrativa</w:t>
            </w:r>
          </w:p>
        </w:tc>
        <w:tc>
          <w:tcPr>
            <w:tcW w:w="6281" w:type="dxa"/>
          </w:tcPr>
          <w:p w:rsidR="00C05BEE" w:rsidRPr="00CB0355" w:rsidRDefault="00C05BEE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CB0355">
              <w:rPr>
                <w:rFonts w:ascii="Arial" w:hAnsi="Arial" w:cs="Arial"/>
                <w:sz w:val="28"/>
              </w:rPr>
              <w:t>Define la preferencia de un origen de enrutamiento.</w:t>
            </w:r>
          </w:p>
        </w:tc>
      </w:tr>
      <w:tr w:rsidR="00535D00" w:rsidTr="00D60796">
        <w:tc>
          <w:tcPr>
            <w:tcW w:w="2547" w:type="dxa"/>
          </w:tcPr>
          <w:p w:rsidR="00535D00" w:rsidRPr="00CB0355" w:rsidRDefault="00FF67A9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Protocolo sin clase</w:t>
            </w:r>
          </w:p>
        </w:tc>
        <w:tc>
          <w:tcPr>
            <w:tcW w:w="6281" w:type="dxa"/>
          </w:tcPr>
          <w:p w:rsidR="00535D00" w:rsidRPr="00CB0355" w:rsidRDefault="00FF67A9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Envían la máscara de subred durante las actualizaciones de enrutamiento.</w:t>
            </w:r>
          </w:p>
        </w:tc>
      </w:tr>
      <w:tr w:rsidR="0094423E" w:rsidTr="00D60796">
        <w:tc>
          <w:tcPr>
            <w:tcW w:w="2547" w:type="dxa"/>
          </w:tcPr>
          <w:p w:rsidR="0094423E" w:rsidRDefault="0094423E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BGP</w:t>
            </w:r>
          </w:p>
        </w:tc>
        <w:tc>
          <w:tcPr>
            <w:tcW w:w="6281" w:type="dxa"/>
          </w:tcPr>
          <w:p w:rsidR="0094423E" w:rsidRPr="0094423E" w:rsidRDefault="00FF67A9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  <w:r w:rsidR="0094423E" w:rsidRPr="0094423E">
              <w:rPr>
                <w:rFonts w:ascii="Arial" w:hAnsi="Arial" w:cs="Arial"/>
                <w:sz w:val="28"/>
              </w:rPr>
              <w:t>s un protocolo mediante el cual se intercambia información de encaminamiento o ruteo entre sistemas autónomos</w:t>
            </w:r>
          </w:p>
        </w:tc>
      </w:tr>
      <w:tr w:rsidR="00DD5DCE" w:rsidTr="00D60796">
        <w:tc>
          <w:tcPr>
            <w:tcW w:w="2547" w:type="dxa"/>
          </w:tcPr>
          <w:p w:rsidR="00DD5DCE" w:rsidRDefault="00DD5DCE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Protocolo con clase</w:t>
            </w:r>
          </w:p>
        </w:tc>
        <w:tc>
          <w:tcPr>
            <w:tcW w:w="6281" w:type="dxa"/>
          </w:tcPr>
          <w:p w:rsidR="00DD5DCE" w:rsidRPr="0094423E" w:rsidRDefault="00DD5DCE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No envían la máscara de subred durante las actualizaciones de enrutamiento.</w:t>
            </w:r>
          </w:p>
        </w:tc>
      </w:tr>
      <w:tr w:rsidR="00DD5DCE" w:rsidTr="00D60796">
        <w:tc>
          <w:tcPr>
            <w:tcW w:w="2547" w:type="dxa"/>
          </w:tcPr>
          <w:p w:rsidR="00DD5DCE" w:rsidRDefault="00FF67A9" w:rsidP="00CB0355">
            <w:pPr>
              <w:tabs>
                <w:tab w:val="left" w:pos="8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OSPF</w:t>
            </w:r>
          </w:p>
        </w:tc>
        <w:tc>
          <w:tcPr>
            <w:tcW w:w="6281" w:type="dxa"/>
          </w:tcPr>
          <w:p w:rsidR="00DD5DCE" w:rsidRDefault="00FF67A9" w:rsidP="00CB0355">
            <w:pPr>
              <w:tabs>
                <w:tab w:val="left" w:pos="840"/>
              </w:tabs>
              <w:jc w:val="both"/>
              <w:rPr>
                <w:rFonts w:ascii="Arial" w:hAnsi="Arial" w:cs="Arial"/>
                <w:sz w:val="28"/>
              </w:rPr>
            </w:pPr>
            <w:r w:rsidRPr="0094423E">
              <w:rPr>
                <w:rFonts w:ascii="Arial" w:hAnsi="Arial" w:cs="Arial"/>
                <w:sz w:val="28"/>
              </w:rPr>
              <w:t>Un protocolo de encaminamiento jerárquico de pasarela interior</w:t>
            </w:r>
            <w:r>
              <w:rPr>
                <w:rFonts w:ascii="Arial" w:hAnsi="Arial" w:cs="Arial"/>
                <w:sz w:val="28"/>
              </w:rPr>
              <w:t xml:space="preserve">, </w:t>
            </w:r>
            <w:r w:rsidRPr="0094423E">
              <w:rPr>
                <w:rFonts w:ascii="Arial" w:hAnsi="Arial" w:cs="Arial"/>
                <w:sz w:val="28"/>
              </w:rPr>
              <w:t xml:space="preserve">que usa el algoritmo </w:t>
            </w:r>
            <w:proofErr w:type="spellStart"/>
            <w:r w:rsidRPr="0094423E">
              <w:rPr>
                <w:rFonts w:ascii="Arial" w:hAnsi="Arial" w:cs="Arial"/>
                <w:sz w:val="28"/>
              </w:rPr>
              <w:t>SmoothWall</w:t>
            </w:r>
            <w:proofErr w:type="spellEnd"/>
            <w:r w:rsidRPr="0094423E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94423E">
              <w:rPr>
                <w:rFonts w:ascii="Arial" w:hAnsi="Arial" w:cs="Arial"/>
                <w:sz w:val="28"/>
              </w:rPr>
              <w:t>Dijkstra</w:t>
            </w:r>
            <w:proofErr w:type="spellEnd"/>
            <w:r w:rsidRPr="0094423E">
              <w:rPr>
                <w:rFonts w:ascii="Arial" w:hAnsi="Arial" w:cs="Arial"/>
                <w:sz w:val="28"/>
              </w:rPr>
              <w:t xml:space="preserve"> enlace-estado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</w:tbl>
    <w:p w:rsidR="002A17B9" w:rsidRPr="002A17B9" w:rsidRDefault="002A17B9" w:rsidP="002A17B9">
      <w:pPr>
        <w:tabs>
          <w:tab w:val="left" w:pos="840"/>
        </w:tabs>
        <w:rPr>
          <w:rFonts w:ascii="Arial Narrow" w:hAnsi="Arial Narrow" w:cs="Arial"/>
          <w:sz w:val="24"/>
        </w:rPr>
      </w:pPr>
      <w:bookmarkStart w:id="0" w:name="_GoBack"/>
      <w:bookmarkEnd w:id="0"/>
    </w:p>
    <w:sectPr w:rsidR="002A17B9" w:rsidRPr="002A1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B73"/>
      </v:shape>
    </w:pict>
  </w:numPicBullet>
  <w:abstractNum w:abstractNumId="0">
    <w:nsid w:val="04A131AA"/>
    <w:multiLevelType w:val="hybridMultilevel"/>
    <w:tmpl w:val="02A0373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C14FC"/>
    <w:multiLevelType w:val="hybridMultilevel"/>
    <w:tmpl w:val="7A1AA3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F7663"/>
    <w:multiLevelType w:val="hybridMultilevel"/>
    <w:tmpl w:val="1CAC518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A6A74"/>
    <w:multiLevelType w:val="hybridMultilevel"/>
    <w:tmpl w:val="5E0A34F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1443F"/>
    <w:multiLevelType w:val="hybridMultilevel"/>
    <w:tmpl w:val="DDEC3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D7"/>
    <w:rsid w:val="0000307A"/>
    <w:rsid w:val="000874E9"/>
    <w:rsid w:val="001B33B5"/>
    <w:rsid w:val="002A17B9"/>
    <w:rsid w:val="0040678F"/>
    <w:rsid w:val="0043327E"/>
    <w:rsid w:val="0047327E"/>
    <w:rsid w:val="00535D00"/>
    <w:rsid w:val="005B11FF"/>
    <w:rsid w:val="006A5F09"/>
    <w:rsid w:val="008E61B1"/>
    <w:rsid w:val="0094423E"/>
    <w:rsid w:val="00993ACF"/>
    <w:rsid w:val="00AD1E19"/>
    <w:rsid w:val="00B22879"/>
    <w:rsid w:val="00C05BEE"/>
    <w:rsid w:val="00C333AB"/>
    <w:rsid w:val="00C840CD"/>
    <w:rsid w:val="00C91163"/>
    <w:rsid w:val="00CB0355"/>
    <w:rsid w:val="00D60796"/>
    <w:rsid w:val="00DA60BE"/>
    <w:rsid w:val="00DD44F2"/>
    <w:rsid w:val="00DD5DCE"/>
    <w:rsid w:val="00F166D7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B27D4-6886-4ADD-92D5-3CEE979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66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0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marco antonio</cp:lastModifiedBy>
  <cp:revision>2</cp:revision>
  <cp:lastPrinted>2015-04-27T23:22:00Z</cp:lastPrinted>
  <dcterms:created xsi:type="dcterms:W3CDTF">2015-04-28T01:19:00Z</dcterms:created>
  <dcterms:modified xsi:type="dcterms:W3CDTF">2015-04-28T01:19:00Z</dcterms:modified>
</cp:coreProperties>
</file>